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exact"/>
        <w:ind w:left="1960" w:right="0" w:hanging="1960" w:hangingChars="70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一、项目名称：</w:t>
      </w:r>
      <w:r>
        <w:rPr>
          <w:rFonts w:hint="eastAsia"/>
          <w:sz w:val="28"/>
          <w:szCs w:val="36"/>
          <w:lang w:eastAsia="zh-CN"/>
        </w:rPr>
        <w:t>中宁县太阳梁乡白马梁村樱桃基地配套设施建设项目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exact"/>
        <w:ind w:left="0" w:right="0" w:firstLine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二、招标方式：公开招标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exact"/>
        <w:ind w:left="0" w:right="0" w:firstLine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三、首次公告时间：2024年5月16日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exact"/>
        <w:ind w:left="0" w:right="0" w:firstLine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四、澄清内容：</w:t>
      </w:r>
    </w:p>
    <w:p>
      <w:pPr>
        <w:rPr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 </w:t>
      </w:r>
      <w:r>
        <w:rPr>
          <w:rFonts w:hint="eastAsia"/>
          <w:sz w:val="28"/>
          <w:szCs w:val="36"/>
          <w:lang w:eastAsia="zh-CN"/>
        </w:rPr>
        <w:t>中宁县太阳梁乡白马梁村樱桃基地配套设施建设项目</w:t>
      </w:r>
      <w:r>
        <w:rPr>
          <w:rFonts w:hint="eastAsia"/>
          <w:sz w:val="28"/>
          <w:szCs w:val="36"/>
          <w:lang w:val="en-US" w:eastAsia="zh-CN"/>
        </w:rPr>
        <w:t>招标清单已重新上传，请各投标单位自行下载</w:t>
      </w:r>
      <w:r>
        <w:rPr>
          <w:rFonts w:hint="eastAsia"/>
          <w:sz w:val="28"/>
          <w:szCs w:val="36"/>
          <w:lang w:eastAsia="zh-CN"/>
        </w:rPr>
        <w:t>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 注：各投标人在开标前应随时关注新点电子交易平台“澄清/变更公告”栏，招标代理机构及招标人不再以其它方式通知。如因自身原因未及时关注变更公告或澄清、补疑等从而导致投标失败的，其后果自行承担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五、发布公告的媒介</w:t>
      </w:r>
    </w:p>
    <w:p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本次变更公告同时在“新点电子交易平台宁夏专区”、“中国招标投标公共服务平台”上发布。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联系方式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jc w:val="left"/>
        <w:textAlignment w:val="auto"/>
        <w:outlineLvl w:val="9"/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招标人：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中宁县太阳梁乡人民政府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地址：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>中宁县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>太阳梁乡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联 系 人：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>王学军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   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           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电话：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>13739531251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招标代理机构：宁夏宝园招标代理有限公司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地址：宁夏银川市贺兰县虹桥街与贺兰山路交汇处天源财汇中心C座共享办公房号1226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联系人：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>万立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hint="default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>电话：</w:t>
      </w:r>
      <w:r>
        <w:rPr>
          <w:rFonts w:hint="eastAsia" w:ascii="宋体" w:hAnsi="宋体" w:cs="宋体"/>
          <w:color w:val="auto"/>
          <w:spacing w:val="0"/>
          <w:sz w:val="28"/>
          <w:szCs w:val="28"/>
          <w:u w:val="none"/>
          <w:lang w:val="en-US" w:eastAsia="zh-CN"/>
        </w:rPr>
        <w:t>17395151153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sz w:val="28"/>
          <w:szCs w:val="28"/>
          <w:u w:val="none"/>
          <w:lang w:val="en-US" w:eastAsia="zh-CN"/>
        </w:rPr>
        <w:t xml:space="preserve"> </w:t>
      </w:r>
    </w:p>
    <w:sectPr>
      <w:pgSz w:w="11906" w:h="16838"/>
      <w:pgMar w:top="1440" w:right="1349" w:bottom="1440" w:left="134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C5791"/>
    <w:multiLevelType w:val="singleLevel"/>
    <w:tmpl w:val="C96C579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NWQ0Yzg2OGQyMWYxYTVjMTA2NTU3OWMzODY4ODMifQ=="/>
  </w:docVars>
  <w:rsids>
    <w:rsidRoot w:val="75C33761"/>
    <w:rsid w:val="75C3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2024-05-17T10:42:00Z</dcterms:created>
  <dc:creator>田龙</dc:creator>
  <cp:lastModifiedBy>田龙</cp:lastModifiedBy>
  <dcterms:modified xsi:type="dcterms:W3CDTF">2024-05-17T10:59:37Z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6D32A8962AD148F7B08F7C1242081383_11</vt:lpwstr>
  </property>
</Properties>
</file>